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62E3AAA3" w:rsidP="3367B5D9" w:rsidRDefault="62E3AAA3" w14:paraId="4112E0FB" w14:textId="4BDA487D">
      <w:pPr>
        <w:spacing w:after="0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367B5D9" w:rsidR="62E3AAA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SAMPLE </w:t>
      </w:r>
      <w:r w:rsidRPr="3367B5D9" w:rsidR="62E3AAA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ARTICLE  FOR</w:t>
      </w:r>
      <w:r w:rsidRPr="3367B5D9" w:rsidR="62E3AAA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FLAGSHIP REPORT</w:t>
      </w:r>
    </w:p>
    <w:p w:rsidR="62E3AAA3" w:rsidP="3367B5D9" w:rsidRDefault="62E3AAA3" w14:paraId="2D365D30" w14:textId="32A7EC6B">
      <w:pPr>
        <w:spacing w:after="0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367B5D9" w:rsidR="62E3AAA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ASCC ANALYSIS DIVISION</w:t>
      </w:r>
    </w:p>
    <w:p w:rsidR="3367B5D9" w:rsidP="3367B5D9" w:rsidRDefault="3367B5D9" w14:paraId="12041491" w14:textId="125FEA38">
      <w:pPr>
        <w:pStyle w:val="Normal"/>
        <w:rPr>
          <w:rStyle w:val="normaltextrun"/>
          <w:rFonts w:ascii="Arial" w:hAnsi="Arial" w:cs="Arial"/>
          <w:b w:val="1"/>
          <w:bCs w:val="1"/>
          <w:sz w:val="32"/>
          <w:szCs w:val="32"/>
        </w:rPr>
      </w:pPr>
    </w:p>
    <w:p w:rsidRPr="00F56B5E" w:rsidR="003672BC" w:rsidP="3367B5D9" w:rsidRDefault="00237F76" w14:paraId="2197CF9C" w14:textId="77777777" w14:noSpellErr="1">
      <w:pPr>
        <w:rPr>
          <w:rStyle w:val="eop"/>
          <w:rFonts w:ascii="Arial" w:hAnsi="Arial" w:cs="Arial"/>
          <w:b w:val="1"/>
          <w:bCs w:val="1"/>
          <w:sz w:val="32"/>
          <w:szCs w:val="32"/>
          <w:shd w:val="clear" w:color="auto" w:fill="FFFFFF"/>
        </w:rPr>
      </w:pPr>
      <w:r w:rsidRPr="3367B5D9" w:rsidR="00237F76">
        <w:rPr>
          <w:rStyle w:val="normaltextrun"/>
          <w:rFonts w:ascii="Arial" w:hAnsi="Arial" w:cs="Arial"/>
          <w:b w:val="1"/>
          <w:bCs w:val="1"/>
          <w:sz w:val="32"/>
          <w:szCs w:val="32"/>
          <w:shd w:val="clear" w:color="auto" w:fill="FFFFFF"/>
        </w:rPr>
        <w:t>Enhancing</w:t>
      </w:r>
      <w:r w:rsidRPr="3367B5D9" w:rsidR="00237F76">
        <w:rPr>
          <w:rStyle w:val="tabchar"/>
          <w:rFonts w:ascii="Arial" w:hAnsi="Arial" w:cs="Arial"/>
          <w:sz w:val="32"/>
          <w:szCs w:val="32"/>
          <w:shd w:val="clear" w:color="auto" w:fill="FFFFFF"/>
        </w:rPr>
        <w:t xml:space="preserve"> </w:t>
      </w:r>
      <w:r w:rsidRPr="3367B5D9" w:rsidR="00237F76">
        <w:rPr>
          <w:rStyle w:val="normaltextrun"/>
          <w:rFonts w:ascii="Arial" w:hAnsi="Arial" w:cs="Arial"/>
          <w:b w:val="1"/>
          <w:bCs w:val="1"/>
          <w:sz w:val="32"/>
          <w:szCs w:val="32"/>
          <w:shd w:val="clear" w:color="auto" w:fill="FFFFFF"/>
        </w:rPr>
        <w:t>the</w:t>
      </w:r>
      <w:r w:rsidRPr="3367B5D9" w:rsidR="00237F76">
        <w:rPr>
          <w:rStyle w:val="tabchar"/>
          <w:rFonts w:ascii="Arial" w:hAnsi="Arial" w:cs="Arial"/>
          <w:sz w:val="32"/>
          <w:szCs w:val="32"/>
          <w:shd w:val="clear" w:color="auto" w:fill="FFFFFF"/>
        </w:rPr>
        <w:t xml:space="preserve"> </w:t>
      </w:r>
      <w:r w:rsidRPr="3367B5D9" w:rsidR="00237F76">
        <w:rPr>
          <w:rStyle w:val="normaltextrun"/>
          <w:rFonts w:ascii="Arial" w:hAnsi="Arial" w:cs="Arial"/>
          <w:b w:val="1"/>
          <w:bCs w:val="1"/>
          <w:sz w:val="32"/>
          <w:szCs w:val="32"/>
          <w:shd w:val="clear" w:color="auto" w:fill="FFFFFF"/>
        </w:rPr>
        <w:t>Support</w:t>
      </w:r>
      <w:r w:rsidRPr="3367B5D9" w:rsidR="00237F76">
        <w:rPr>
          <w:rStyle w:val="tabchar"/>
          <w:rFonts w:ascii="Arial" w:hAnsi="Arial" w:cs="Arial"/>
          <w:sz w:val="32"/>
          <w:szCs w:val="32"/>
          <w:shd w:val="clear" w:color="auto" w:fill="FFFFFF"/>
        </w:rPr>
        <w:t xml:space="preserve"> </w:t>
      </w:r>
      <w:r w:rsidRPr="3367B5D9" w:rsidR="00237F76">
        <w:rPr>
          <w:rStyle w:val="normaltextrun"/>
          <w:rFonts w:ascii="Arial" w:hAnsi="Arial" w:cs="Arial"/>
          <w:b w:val="1"/>
          <w:bCs w:val="1"/>
          <w:sz w:val="32"/>
          <w:szCs w:val="32"/>
          <w:shd w:val="clear" w:color="auto" w:fill="FFFFFF"/>
        </w:rPr>
        <w:t>for Resilient Health System</w:t>
      </w:r>
      <w:r w:rsidRPr="3367B5D9" w:rsidR="00237F76">
        <w:rPr>
          <w:rStyle w:val="eop"/>
          <w:rFonts w:ascii="Arial" w:hAnsi="Arial" w:cs="Arial"/>
          <w:b w:val="1"/>
          <w:bCs w:val="1"/>
          <w:sz w:val="32"/>
          <w:szCs w:val="32"/>
          <w:shd w:val="clear" w:color="auto" w:fill="FFFFFF"/>
        </w:rPr>
        <w:t> </w:t>
      </w:r>
    </w:p>
    <w:p w:rsidRPr="00F56B5E" w:rsidR="00237F76" w:rsidRDefault="00237F76" w14:paraId="5804633F" w14:textId="77777777">
      <w:pPr>
        <w:rPr>
          <w:rStyle w:val="eop"/>
          <w:rFonts w:ascii="Arial" w:hAnsi="Arial" w:cs="Arial"/>
          <w:b/>
          <w:bCs/>
          <w:shd w:val="clear" w:color="auto" w:fill="FFFFFF"/>
        </w:rPr>
      </w:pPr>
      <w:r w:rsidRPr="00F56B5E">
        <w:rPr>
          <w:rStyle w:val="normaltextrun"/>
          <w:rFonts w:ascii="Arial" w:hAnsi="Arial" w:cs="Arial"/>
          <w:b/>
          <w:bCs/>
          <w:shd w:val="clear" w:color="auto" w:fill="FFFFFF"/>
        </w:rPr>
        <w:t>Achieving</w:t>
      </w:r>
      <w:r w:rsidRPr="00F56B5E">
        <w:rPr>
          <w:rStyle w:val="tabchar"/>
          <w:rFonts w:ascii="Arial" w:hAnsi="Arial" w:cs="Arial"/>
          <w:shd w:val="clear" w:color="auto" w:fill="FFFFFF"/>
        </w:rPr>
        <w:t xml:space="preserve"> </w:t>
      </w:r>
      <w:r w:rsidRPr="00F56B5E">
        <w:rPr>
          <w:rStyle w:val="normaltextrun"/>
          <w:rFonts w:ascii="Arial" w:hAnsi="Arial" w:cs="Arial"/>
          <w:b/>
          <w:bCs/>
          <w:shd w:val="clear" w:color="auto" w:fill="FFFFFF"/>
        </w:rPr>
        <w:t>Universal</w:t>
      </w:r>
      <w:r w:rsidRPr="00F56B5E">
        <w:rPr>
          <w:rStyle w:val="tabchar"/>
          <w:rFonts w:ascii="Arial" w:hAnsi="Arial" w:cs="Arial"/>
          <w:shd w:val="clear" w:color="auto" w:fill="FFFFFF"/>
        </w:rPr>
        <w:t xml:space="preserve"> </w:t>
      </w:r>
      <w:r w:rsidRPr="00F56B5E">
        <w:rPr>
          <w:rStyle w:val="normaltextrun"/>
          <w:rFonts w:ascii="Arial" w:hAnsi="Arial" w:cs="Arial"/>
          <w:b/>
          <w:bCs/>
          <w:shd w:val="clear" w:color="auto" w:fill="FFFFFF"/>
        </w:rPr>
        <w:t>Health Coverage (UHC)</w:t>
      </w:r>
      <w:r w:rsidRPr="00F56B5E" w:rsidR="002F6125">
        <w:rPr>
          <w:rStyle w:val="eop"/>
          <w:rFonts w:ascii="Arial" w:hAnsi="Arial" w:cs="Arial"/>
          <w:b/>
          <w:bCs/>
          <w:shd w:val="clear" w:color="auto" w:fill="FFFFFF"/>
        </w:rPr>
        <w:t>*</w:t>
      </w:r>
    </w:p>
    <w:p w:rsidRPr="00F56B5E" w:rsidR="00237F76" w:rsidP="002F6125" w:rsidRDefault="00237F76" w14:paraId="3B603DFB" w14:textId="77777777">
      <w:pPr>
        <w:ind w:firstLine="720"/>
        <w:rPr>
          <w:rStyle w:val="eop"/>
          <w:rFonts w:ascii="Arial" w:hAnsi="Arial" w:cs="Arial"/>
          <w:shd w:val="clear" w:color="auto" w:fill="FFFFFF"/>
        </w:rPr>
      </w:pPr>
      <w:r w:rsidRPr="00F56B5E">
        <w:rPr>
          <w:rStyle w:val="normaltextrun"/>
          <w:rFonts w:ascii="Arial" w:hAnsi="Arial" w:cs="Arial"/>
          <w:shd w:val="clear" w:color="auto" w:fill="FFFFFF"/>
        </w:rPr>
        <w:t xml:space="preserve">UHC—encompassing health financing and wide coverage of high-quality services—and health security are interrelated and complementary health goals. A solid RHS is a foundation for both (WHO, 2021, p.2). The purpose of UHC is to ensure that all individuals have access to high- quality healthcare without any financial burden (WHO, 2010; </w:t>
      </w:r>
      <w:proofErr w:type="spellStart"/>
      <w:r w:rsidRPr="00F56B5E">
        <w:rPr>
          <w:rStyle w:val="normaltextrun"/>
          <w:rFonts w:ascii="Arial" w:hAnsi="Arial" w:cs="Arial"/>
          <w:shd w:val="clear" w:color="auto" w:fill="FFFFFF"/>
        </w:rPr>
        <w:t>Jabeen</w:t>
      </w:r>
      <w:proofErr w:type="spellEnd"/>
      <w:r w:rsidRPr="00F56B5E">
        <w:rPr>
          <w:rStyle w:val="normaltextrun"/>
          <w:rFonts w:ascii="Arial" w:hAnsi="Arial" w:cs="Arial"/>
          <w:shd w:val="clear" w:color="auto" w:fill="FFFFFF"/>
        </w:rPr>
        <w:t xml:space="preserve"> et al. 2021, p.2611).</w:t>
      </w:r>
      <w:r w:rsidRPr="00F56B5E">
        <w:rPr>
          <w:rStyle w:val="eop"/>
          <w:rFonts w:ascii="Arial" w:hAnsi="Arial" w:cs="Arial"/>
          <w:shd w:val="clear" w:color="auto" w:fill="FFFFFF"/>
        </w:rPr>
        <w:t> </w:t>
      </w:r>
    </w:p>
    <w:p w:rsidRPr="00F56B5E" w:rsidR="00237F76" w:rsidRDefault="00237F76" w14:paraId="26F3CB62" w14:textId="75EA4C0D">
      <w:pPr>
        <w:rPr>
          <w:rFonts w:ascii="Arial" w:hAnsi="Arial" w:cs="Arial"/>
          <w:shd w:val="clear" w:color="auto" w:fill="FFFFFF"/>
        </w:rPr>
      </w:pPr>
      <w:r w:rsidRPr="00F56B5E">
        <w:rPr>
          <w:rStyle w:val="normaltextrun"/>
          <w:rFonts w:ascii="Arial" w:hAnsi="Arial" w:cs="Arial"/>
          <w:shd w:val="clear" w:color="auto" w:fill="FFFFFF"/>
        </w:rPr>
        <w:t>AMS have started to reform their health financing to attain UHC (</w:t>
      </w:r>
      <w:proofErr w:type="spellStart"/>
      <w:r w:rsidRPr="00F56B5E">
        <w:rPr>
          <w:rStyle w:val="normaltextrun"/>
          <w:rFonts w:ascii="Arial" w:hAnsi="Arial" w:cs="Arial"/>
          <w:shd w:val="clear" w:color="auto" w:fill="FFFFFF"/>
        </w:rPr>
        <w:t>Myin</w:t>
      </w:r>
      <w:proofErr w:type="spellEnd"/>
      <w:r w:rsidRPr="00F56B5E">
        <w:rPr>
          <w:rStyle w:val="normaltextrun"/>
          <w:rFonts w:ascii="Arial" w:hAnsi="Arial" w:cs="Arial"/>
          <w:shd w:val="clear" w:color="auto" w:fill="FFFFFF"/>
        </w:rPr>
        <w:t xml:space="preserve"> et al. 2019, p.2). According to the WHO data in 2019, the average UHC service coverage index in AMS is 67.80 for essential health services, based on tracer interventions that include reproductive, maternal, new-born, and child health, infectious diseases, noncommunicable diseases, and service capacity and access. Figure 1.2 presents the UHC service coverage in AMS.</w:t>
      </w:r>
      <w:r w:rsidRPr="00F56B5E">
        <w:rPr>
          <w:rStyle w:val="eop"/>
          <w:rFonts w:ascii="Arial" w:hAnsi="Arial" w:cs="Arial"/>
          <w:shd w:val="clear" w:color="auto" w:fill="FFFFFF"/>
        </w:rPr>
        <w:t> </w:t>
      </w:r>
    </w:p>
    <w:p w:rsidRPr="00F56B5E" w:rsidR="00237F76" w:rsidRDefault="00F56B5E" w14:paraId="71CE2A2B" w14:textId="325639FC">
      <w:pPr>
        <w:rPr>
          <w:rStyle w:val="eop"/>
          <w:rFonts w:ascii="Arial" w:hAnsi="Arial" w:cs="Arial"/>
          <w:shd w:val="clear" w:color="auto" w:fill="FFFFFF"/>
        </w:rPr>
      </w:pPr>
      <w:r w:rsidRPr="00F56B5E">
        <w:rPr>
          <w:rStyle w:val="normaltextrun"/>
          <w:rFonts w:ascii="Arial" w:hAnsi="Arial" w:cs="Arial"/>
          <w:b/>
          <w:bCs/>
          <w:shd w:val="clear" w:color="auto" w:fill="FFFFFF"/>
        </w:rPr>
        <w:t>Table</w:t>
      </w:r>
      <w:r w:rsidRPr="00F56B5E" w:rsidR="00237F76">
        <w:rPr>
          <w:rStyle w:val="normaltextrun"/>
          <w:rFonts w:ascii="Arial" w:hAnsi="Arial" w:cs="Arial"/>
          <w:b/>
          <w:bCs/>
          <w:shd w:val="clear" w:color="auto" w:fill="FFFFFF"/>
        </w:rPr>
        <w:t xml:space="preserve"> 1.</w:t>
      </w:r>
      <w:r w:rsidRPr="00F56B5E" w:rsidR="002F6125">
        <w:rPr>
          <w:rStyle w:val="normaltextrun"/>
          <w:rFonts w:ascii="Arial" w:hAnsi="Arial" w:cs="Arial"/>
          <w:b/>
          <w:bCs/>
          <w:shd w:val="clear" w:color="auto" w:fill="FFFFFF"/>
        </w:rPr>
        <w:t>1</w:t>
      </w:r>
      <w:r w:rsidRPr="00F56B5E" w:rsidR="00237F76">
        <w:rPr>
          <w:rStyle w:val="normaltextrun"/>
          <w:rFonts w:ascii="Arial" w:hAnsi="Arial" w:cs="Arial"/>
          <w:b/>
          <w:bCs/>
          <w:shd w:val="clear" w:color="auto" w:fill="FFFFFF"/>
        </w:rPr>
        <w:t xml:space="preserve"> </w:t>
      </w:r>
      <w:r w:rsidRPr="00F56B5E" w:rsidR="00237F76">
        <w:rPr>
          <w:rStyle w:val="normaltextrun"/>
          <w:rFonts w:ascii="Arial" w:hAnsi="Arial" w:cs="Arial"/>
          <w:shd w:val="clear" w:color="auto" w:fill="FFFFFF"/>
        </w:rPr>
        <w:t>UHC Service Coverage Index in AMS (2019)</w:t>
      </w:r>
      <w:r w:rsidRPr="00F56B5E" w:rsidR="00237F76">
        <w:rPr>
          <w:rStyle w:val="eop"/>
          <w:rFonts w:ascii="Arial" w:hAnsi="Arial" w:cs="Arial"/>
          <w:shd w:val="clear" w:color="auto" w:fill="FFFFFF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4230"/>
        <w:gridCol w:w="4585"/>
      </w:tblGrid>
      <w:tr w:rsidRPr="00F56B5E" w:rsidR="00F56B5E" w:rsidTr="00F56B5E" w14:paraId="54E96B0A" w14:textId="77777777">
        <w:tc>
          <w:tcPr>
            <w:tcW w:w="535" w:type="dxa"/>
          </w:tcPr>
          <w:p w:rsidRPr="00F56B5E" w:rsidR="00F56B5E" w:rsidRDefault="00F56B5E" w14:paraId="5445E854" w14:textId="34A8BC45">
            <w:pPr>
              <w:rPr>
                <w:rStyle w:val="eop"/>
                <w:rFonts w:ascii="Arial" w:hAnsi="Arial" w:cs="Arial"/>
                <w:b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b/>
                <w:shd w:val="clear" w:color="auto" w:fill="FFFFFF"/>
              </w:rPr>
              <w:t>No</w:t>
            </w:r>
          </w:p>
        </w:tc>
        <w:tc>
          <w:tcPr>
            <w:tcW w:w="4230" w:type="dxa"/>
          </w:tcPr>
          <w:p w:rsidRPr="00F56B5E" w:rsidR="00F56B5E" w:rsidRDefault="00F56B5E" w14:paraId="18EEB5CF" w14:textId="3DE9D008">
            <w:pPr>
              <w:rPr>
                <w:rStyle w:val="eop"/>
                <w:rFonts w:ascii="Arial" w:hAnsi="Arial" w:cs="Arial"/>
                <w:b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b/>
                <w:shd w:val="clear" w:color="auto" w:fill="FFFFFF"/>
              </w:rPr>
              <w:t>Country</w:t>
            </w:r>
          </w:p>
        </w:tc>
        <w:tc>
          <w:tcPr>
            <w:tcW w:w="4585" w:type="dxa"/>
          </w:tcPr>
          <w:p w:rsidRPr="00F56B5E" w:rsidR="00F56B5E" w:rsidRDefault="00F56B5E" w14:paraId="18C19121" w14:textId="2725D80C">
            <w:pPr>
              <w:rPr>
                <w:rStyle w:val="eop"/>
                <w:rFonts w:ascii="Arial" w:hAnsi="Arial" w:cs="Arial"/>
                <w:b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b/>
                <w:shd w:val="clear" w:color="auto" w:fill="FFFFFF"/>
              </w:rPr>
              <w:t>Service Coverage</w:t>
            </w:r>
            <w:r>
              <w:rPr>
                <w:rStyle w:val="eop"/>
                <w:rFonts w:ascii="Arial" w:hAnsi="Arial" w:cs="Arial"/>
                <w:b/>
                <w:shd w:val="clear" w:color="auto" w:fill="FFFFFF"/>
              </w:rPr>
              <w:t>*</w:t>
            </w:r>
          </w:p>
        </w:tc>
      </w:tr>
      <w:tr w:rsidRPr="00F56B5E" w:rsidR="00F56B5E" w:rsidTr="00F56B5E" w14:paraId="037273E2" w14:textId="77777777">
        <w:tc>
          <w:tcPr>
            <w:tcW w:w="535" w:type="dxa"/>
          </w:tcPr>
          <w:p w:rsidRPr="00F56B5E" w:rsidR="00F56B5E" w:rsidRDefault="00F56B5E" w14:paraId="19BC467C" w14:textId="314EFD8A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1</w:t>
            </w:r>
          </w:p>
        </w:tc>
        <w:tc>
          <w:tcPr>
            <w:tcW w:w="4230" w:type="dxa"/>
          </w:tcPr>
          <w:p w:rsidRPr="00F56B5E" w:rsidR="00F56B5E" w:rsidRDefault="00F56B5E" w14:paraId="66E8D371" w14:textId="54E5B5F6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Brunei Darussalam</w:t>
            </w:r>
          </w:p>
        </w:tc>
        <w:tc>
          <w:tcPr>
            <w:tcW w:w="4585" w:type="dxa"/>
          </w:tcPr>
          <w:p w:rsidRPr="00F56B5E" w:rsidR="00F56B5E" w:rsidRDefault="00F56B5E" w14:paraId="0D04926F" w14:textId="0FF0C9FB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77</w:t>
            </w:r>
          </w:p>
        </w:tc>
      </w:tr>
      <w:tr w:rsidRPr="00F56B5E" w:rsidR="00F56B5E" w:rsidTr="00F56B5E" w14:paraId="7DC176F3" w14:textId="77777777">
        <w:tc>
          <w:tcPr>
            <w:tcW w:w="535" w:type="dxa"/>
          </w:tcPr>
          <w:p w:rsidRPr="00F56B5E" w:rsidR="00F56B5E" w:rsidRDefault="00F56B5E" w14:paraId="58D46A7C" w14:textId="3E61528D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2</w:t>
            </w:r>
          </w:p>
        </w:tc>
        <w:tc>
          <w:tcPr>
            <w:tcW w:w="4230" w:type="dxa"/>
          </w:tcPr>
          <w:p w:rsidRPr="00F56B5E" w:rsidR="00F56B5E" w:rsidRDefault="00F56B5E" w14:paraId="6805F887" w14:textId="2627D24C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Cambodia</w:t>
            </w:r>
          </w:p>
        </w:tc>
        <w:tc>
          <w:tcPr>
            <w:tcW w:w="4585" w:type="dxa"/>
          </w:tcPr>
          <w:p w:rsidRPr="00F56B5E" w:rsidR="00F56B5E" w:rsidRDefault="00F56B5E" w14:paraId="481C38F2" w14:textId="32E86FC4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61</w:t>
            </w:r>
          </w:p>
        </w:tc>
      </w:tr>
      <w:tr w:rsidRPr="00F56B5E" w:rsidR="00F56B5E" w:rsidTr="00F56B5E" w14:paraId="18E07908" w14:textId="77777777">
        <w:tc>
          <w:tcPr>
            <w:tcW w:w="535" w:type="dxa"/>
          </w:tcPr>
          <w:p w:rsidRPr="00F56B5E" w:rsidR="00F56B5E" w:rsidRDefault="00F56B5E" w14:paraId="01FD3CB8" w14:textId="36A8C6A3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3</w:t>
            </w:r>
          </w:p>
        </w:tc>
        <w:tc>
          <w:tcPr>
            <w:tcW w:w="4230" w:type="dxa"/>
          </w:tcPr>
          <w:p w:rsidRPr="00F56B5E" w:rsidR="00F56B5E" w:rsidRDefault="00F56B5E" w14:paraId="6B0F1CCF" w14:textId="7AC41414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Indonesia</w:t>
            </w:r>
          </w:p>
        </w:tc>
        <w:tc>
          <w:tcPr>
            <w:tcW w:w="4585" w:type="dxa"/>
          </w:tcPr>
          <w:p w:rsidRPr="00F56B5E" w:rsidR="00F56B5E" w:rsidRDefault="00F56B5E" w14:paraId="3DD1135C" w14:textId="218F70B2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59</w:t>
            </w:r>
          </w:p>
        </w:tc>
      </w:tr>
      <w:tr w:rsidRPr="00F56B5E" w:rsidR="00F56B5E" w:rsidTr="00F56B5E" w14:paraId="04A78567" w14:textId="77777777">
        <w:tc>
          <w:tcPr>
            <w:tcW w:w="535" w:type="dxa"/>
          </w:tcPr>
          <w:p w:rsidRPr="00F56B5E" w:rsidR="00F56B5E" w:rsidRDefault="00F56B5E" w14:paraId="768FDBC1" w14:textId="03D925C6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4</w:t>
            </w:r>
          </w:p>
        </w:tc>
        <w:tc>
          <w:tcPr>
            <w:tcW w:w="4230" w:type="dxa"/>
          </w:tcPr>
          <w:p w:rsidRPr="00F56B5E" w:rsidR="00F56B5E" w:rsidRDefault="00F56B5E" w14:paraId="07EE6FA1" w14:textId="239364F6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Lao PDR</w:t>
            </w:r>
          </w:p>
        </w:tc>
        <w:tc>
          <w:tcPr>
            <w:tcW w:w="4585" w:type="dxa"/>
          </w:tcPr>
          <w:p w:rsidRPr="00F56B5E" w:rsidR="00F56B5E" w:rsidRDefault="00F56B5E" w14:paraId="613D3858" w14:textId="22E8C47B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50</w:t>
            </w:r>
          </w:p>
        </w:tc>
      </w:tr>
      <w:tr w:rsidRPr="00F56B5E" w:rsidR="00F56B5E" w:rsidTr="00F56B5E" w14:paraId="1B250DF8" w14:textId="77777777">
        <w:tc>
          <w:tcPr>
            <w:tcW w:w="535" w:type="dxa"/>
          </w:tcPr>
          <w:p w:rsidRPr="00F56B5E" w:rsidR="00F56B5E" w:rsidRDefault="00F56B5E" w14:paraId="29B57671" w14:textId="3C8AC624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5</w:t>
            </w:r>
          </w:p>
        </w:tc>
        <w:tc>
          <w:tcPr>
            <w:tcW w:w="4230" w:type="dxa"/>
          </w:tcPr>
          <w:p w:rsidRPr="00F56B5E" w:rsidR="00F56B5E" w:rsidRDefault="00F56B5E" w14:paraId="318DA578" w14:textId="1444DCC6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Malaysia</w:t>
            </w:r>
          </w:p>
        </w:tc>
        <w:tc>
          <w:tcPr>
            <w:tcW w:w="4585" w:type="dxa"/>
          </w:tcPr>
          <w:p w:rsidRPr="00F56B5E" w:rsidR="00F56B5E" w:rsidRDefault="00F56B5E" w14:paraId="2211ACF6" w14:textId="14E3B20A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76</w:t>
            </w:r>
          </w:p>
        </w:tc>
      </w:tr>
      <w:tr w:rsidRPr="00F56B5E" w:rsidR="00F56B5E" w:rsidTr="00F56B5E" w14:paraId="5C2B5193" w14:textId="77777777">
        <w:tc>
          <w:tcPr>
            <w:tcW w:w="535" w:type="dxa"/>
          </w:tcPr>
          <w:p w:rsidRPr="00F56B5E" w:rsidR="00F56B5E" w:rsidRDefault="00F56B5E" w14:paraId="7795AA33" w14:textId="32E0292C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6</w:t>
            </w:r>
          </w:p>
        </w:tc>
        <w:tc>
          <w:tcPr>
            <w:tcW w:w="4230" w:type="dxa"/>
          </w:tcPr>
          <w:p w:rsidRPr="00F56B5E" w:rsidR="00F56B5E" w:rsidRDefault="00F56B5E" w14:paraId="43AF4ED4" w14:textId="0804FE1E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Myanmar</w:t>
            </w:r>
          </w:p>
        </w:tc>
        <w:tc>
          <w:tcPr>
            <w:tcW w:w="4585" w:type="dxa"/>
          </w:tcPr>
          <w:p w:rsidRPr="00F56B5E" w:rsidR="00F56B5E" w:rsidRDefault="00F56B5E" w14:paraId="376FEEDC" w14:textId="5BBF988A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61</w:t>
            </w:r>
          </w:p>
        </w:tc>
      </w:tr>
      <w:tr w:rsidRPr="00F56B5E" w:rsidR="00F56B5E" w:rsidTr="00F56B5E" w14:paraId="4FB78F4F" w14:textId="77777777">
        <w:tc>
          <w:tcPr>
            <w:tcW w:w="535" w:type="dxa"/>
          </w:tcPr>
          <w:p w:rsidRPr="00F56B5E" w:rsidR="00F56B5E" w:rsidRDefault="00F56B5E" w14:paraId="04E56493" w14:textId="5C984B82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7</w:t>
            </w:r>
          </w:p>
        </w:tc>
        <w:tc>
          <w:tcPr>
            <w:tcW w:w="4230" w:type="dxa"/>
          </w:tcPr>
          <w:p w:rsidRPr="00F56B5E" w:rsidR="00F56B5E" w:rsidRDefault="00F56B5E" w14:paraId="6F500BA7" w14:textId="0BECB6F9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Philippines</w:t>
            </w:r>
          </w:p>
        </w:tc>
        <w:tc>
          <w:tcPr>
            <w:tcW w:w="4585" w:type="dxa"/>
          </w:tcPr>
          <w:p w:rsidRPr="00F56B5E" w:rsidR="00F56B5E" w:rsidRDefault="00F56B5E" w14:paraId="6CDC04F8" w14:textId="55C87CDA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55</w:t>
            </w:r>
          </w:p>
        </w:tc>
      </w:tr>
      <w:tr w:rsidRPr="00F56B5E" w:rsidR="00F56B5E" w:rsidTr="00F56B5E" w14:paraId="10447F68" w14:textId="77777777">
        <w:tc>
          <w:tcPr>
            <w:tcW w:w="535" w:type="dxa"/>
          </w:tcPr>
          <w:p w:rsidRPr="00F56B5E" w:rsidR="00F56B5E" w:rsidRDefault="00F56B5E" w14:paraId="51F66015" w14:textId="5995A1DA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8</w:t>
            </w:r>
          </w:p>
        </w:tc>
        <w:tc>
          <w:tcPr>
            <w:tcW w:w="4230" w:type="dxa"/>
          </w:tcPr>
          <w:p w:rsidRPr="00F56B5E" w:rsidR="00F56B5E" w:rsidRDefault="00F56B5E" w14:paraId="73D0DFFD" w14:textId="5AD72D2B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Singapore</w:t>
            </w:r>
          </w:p>
        </w:tc>
        <w:tc>
          <w:tcPr>
            <w:tcW w:w="4585" w:type="dxa"/>
          </w:tcPr>
          <w:p w:rsidRPr="00F56B5E" w:rsidR="00F56B5E" w:rsidRDefault="00F56B5E" w14:paraId="2F2DEF5D" w14:textId="1EF19071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86</w:t>
            </w:r>
          </w:p>
        </w:tc>
      </w:tr>
      <w:tr w:rsidRPr="00F56B5E" w:rsidR="00F56B5E" w:rsidTr="00F56B5E" w14:paraId="39FB9561" w14:textId="77777777">
        <w:tc>
          <w:tcPr>
            <w:tcW w:w="535" w:type="dxa"/>
          </w:tcPr>
          <w:p w:rsidRPr="00F56B5E" w:rsidR="00F56B5E" w:rsidRDefault="00F56B5E" w14:paraId="7B112D38" w14:textId="5C6F0A0D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9</w:t>
            </w:r>
          </w:p>
        </w:tc>
        <w:tc>
          <w:tcPr>
            <w:tcW w:w="4230" w:type="dxa"/>
          </w:tcPr>
          <w:p w:rsidRPr="00F56B5E" w:rsidR="00F56B5E" w:rsidRDefault="00F56B5E" w14:paraId="5D00C350" w14:textId="11497AB4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Thailand</w:t>
            </w:r>
          </w:p>
        </w:tc>
        <w:tc>
          <w:tcPr>
            <w:tcW w:w="4585" w:type="dxa"/>
          </w:tcPr>
          <w:p w:rsidRPr="00F56B5E" w:rsidR="00F56B5E" w:rsidRDefault="00F56B5E" w14:paraId="0151CB94" w14:textId="72464489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84</w:t>
            </w:r>
          </w:p>
        </w:tc>
      </w:tr>
      <w:tr w:rsidRPr="00F56B5E" w:rsidR="00F56B5E" w:rsidTr="00F56B5E" w14:paraId="05B965EC" w14:textId="77777777">
        <w:tc>
          <w:tcPr>
            <w:tcW w:w="535" w:type="dxa"/>
          </w:tcPr>
          <w:p w:rsidRPr="00F56B5E" w:rsidR="00F56B5E" w:rsidRDefault="00F56B5E" w14:paraId="23A09B88" w14:textId="548921F0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10</w:t>
            </w:r>
          </w:p>
        </w:tc>
        <w:tc>
          <w:tcPr>
            <w:tcW w:w="4230" w:type="dxa"/>
          </w:tcPr>
          <w:p w:rsidRPr="00F56B5E" w:rsidR="00F56B5E" w:rsidRDefault="00F56B5E" w14:paraId="637B6A53" w14:textId="096D0E3E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Viet Nam</w:t>
            </w:r>
          </w:p>
        </w:tc>
        <w:tc>
          <w:tcPr>
            <w:tcW w:w="4585" w:type="dxa"/>
          </w:tcPr>
          <w:p w:rsidRPr="00F56B5E" w:rsidR="00F56B5E" w:rsidRDefault="00F56B5E" w14:paraId="10AADBA8" w14:textId="41CFFEFC">
            <w:pPr>
              <w:rPr>
                <w:rStyle w:val="eop"/>
                <w:rFonts w:ascii="Arial" w:hAnsi="Arial" w:cs="Arial"/>
                <w:shd w:val="clear" w:color="auto" w:fill="FFFFFF"/>
              </w:rPr>
            </w:pPr>
            <w:r w:rsidRPr="00F56B5E">
              <w:rPr>
                <w:rStyle w:val="eop"/>
                <w:rFonts w:ascii="Arial" w:hAnsi="Arial" w:cs="Arial"/>
                <w:shd w:val="clear" w:color="auto" w:fill="FFFFFF"/>
              </w:rPr>
              <w:t>70</w:t>
            </w:r>
          </w:p>
        </w:tc>
      </w:tr>
    </w:tbl>
    <w:p w:rsidRPr="00F56B5E" w:rsidR="00F56B5E" w:rsidP="00F56B5E" w:rsidRDefault="00F56B5E" w14:paraId="7D8020DB" w14:textId="642D6850">
      <w:pPr>
        <w:jc w:val="center"/>
        <w:rPr>
          <w:rStyle w:val="eop"/>
          <w:rFonts w:ascii="Arial" w:hAnsi="Arial" w:cs="Arial"/>
          <w:sz w:val="18"/>
          <w:shd w:val="clear" w:color="auto" w:fill="FFFFFF"/>
        </w:rPr>
      </w:pPr>
      <w:r w:rsidRPr="00F56B5E">
        <w:rPr>
          <w:rStyle w:val="normaltextrun"/>
          <w:rFonts w:ascii="Arial" w:hAnsi="Arial" w:cs="Arial"/>
          <w:sz w:val="18"/>
          <w:shd w:val="clear" w:color="auto" w:fill="FFFFFF"/>
        </w:rPr>
        <w:t>Source: WHO Global Health Observatory Data Repository. Processed by the Authors.</w:t>
      </w:r>
    </w:p>
    <w:p w:rsidRPr="00F56B5E" w:rsidR="00237F76" w:rsidRDefault="00F56B5E" w14:paraId="0D349CF9" w14:textId="6FFAA45B">
      <w:pPr>
        <w:rPr>
          <w:rFonts w:ascii="Arial" w:hAnsi="Arial" w:cs="Arial"/>
          <w:shd w:val="clear" w:color="auto" w:fill="FFFFFF"/>
        </w:rPr>
      </w:pPr>
      <w:r>
        <w:rPr>
          <w:rStyle w:val="eop"/>
          <w:rFonts w:ascii="Arial" w:hAnsi="Arial" w:cs="Arial"/>
          <w:shd w:val="clear" w:color="auto" w:fill="FFFFFF"/>
        </w:rPr>
        <w:t>*</w:t>
      </w:r>
      <w:r w:rsidRPr="00F56B5E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F56B5E">
        <w:rPr>
          <w:rFonts w:ascii="Arial" w:hAnsi="Arial" w:cs="Arial"/>
          <w:i/>
          <w:color w:val="000000"/>
          <w:sz w:val="20"/>
          <w:shd w:val="clear" w:color="auto" w:fill="FFFFFF"/>
        </w:rPr>
        <w:t>The indicator is an index reported on a unitless scale of 0 to 100, which is computed as the geometric mean of 14 tracer indicators of health service coverage. The tracer indicators are as follows, organized by four components of service coverage: 1. Reproductive, maternal, newborn and child health 2. Infectious diseases 3. Noncommunicable diseases 4. Service capacity a</w:t>
      </w:r>
      <w:bookmarkStart w:name="_GoBack" w:id="0"/>
      <w:bookmarkEnd w:id="0"/>
      <w:r w:rsidRPr="00F56B5E">
        <w:rPr>
          <w:rFonts w:ascii="Arial" w:hAnsi="Arial" w:cs="Arial"/>
          <w:i/>
          <w:color w:val="000000"/>
          <w:sz w:val="20"/>
          <w:shd w:val="clear" w:color="auto" w:fill="FFFFFF"/>
        </w:rPr>
        <w:t>nd access.</w:t>
      </w:r>
    </w:p>
    <w:p w:rsidRPr="00F56B5E" w:rsidR="00237F76" w:rsidRDefault="00237F76" w14:paraId="04871BA3" w14:textId="77777777">
      <w:pPr>
        <w:rPr>
          <w:rStyle w:val="eop"/>
          <w:rFonts w:ascii="Arial" w:hAnsi="Arial" w:cs="Arial"/>
          <w:shd w:val="clear" w:color="auto" w:fill="FFFFFF"/>
        </w:rPr>
      </w:pPr>
      <w:r w:rsidRPr="00F56B5E">
        <w:rPr>
          <w:rStyle w:val="normaltextrun"/>
          <w:rFonts w:ascii="Arial" w:hAnsi="Arial" w:cs="Arial"/>
          <w:shd w:val="clear" w:color="auto" w:fill="FFFFFF"/>
        </w:rPr>
        <w:t>AMS have made considerable progress toward UHC (ASEAN, 2016, p.23). According to The Commonwealth Fund (2020), Singapore has achieved UHC through a hybrid financing system.</w:t>
      </w:r>
      <w:r w:rsidRPr="00F56B5E">
        <w:rPr>
          <w:rStyle w:val="eop"/>
          <w:rFonts w:ascii="Arial" w:hAnsi="Arial" w:cs="Arial"/>
          <w:shd w:val="clear" w:color="auto" w:fill="FFFFFF"/>
        </w:rPr>
        <w:t> </w:t>
      </w:r>
    </w:p>
    <w:p w:rsidRPr="00F56B5E" w:rsidR="00237F76" w:rsidP="00237F76" w:rsidRDefault="00237F76" w14:paraId="4E3BDCA9" w14:textId="77777777">
      <w:pPr>
        <w:rPr>
          <w:rFonts w:ascii="Arial" w:hAnsi="Arial" w:cs="Arial"/>
          <w:shd w:val="clear" w:color="auto" w:fill="FFFFFF"/>
        </w:rPr>
      </w:pPr>
      <w:r w:rsidRPr="00F56B5E">
        <w:rPr>
          <w:rStyle w:val="normaltextrun"/>
          <w:rFonts w:ascii="Arial" w:hAnsi="Arial" w:cs="Arial"/>
          <w:shd w:val="clear" w:color="auto" w:fill="FFFFFF"/>
        </w:rPr>
        <w:t>Singapore’s public statutory insurance system, MediShield Life, covers large hospital care and outpatient treatment bills. Meanwhile, Thailand has achieved UHC for the entire population</w:t>
      </w:r>
      <w:r w:rsidRPr="00F56B5E">
        <w:rPr>
          <w:rStyle w:val="eop"/>
          <w:rFonts w:ascii="Arial" w:hAnsi="Arial" w:cs="Arial"/>
          <w:shd w:val="clear" w:color="auto" w:fill="FFFFFF"/>
        </w:rPr>
        <w:t> </w:t>
      </w:r>
      <w:r w:rsidRPr="00F56B5E">
        <w:rPr>
          <w:rStyle w:val="normaltextrun"/>
          <w:rFonts w:ascii="Arial" w:hAnsi="Arial" w:cs="Arial"/>
        </w:rPr>
        <w:t xml:space="preserve">through three primary public health insurance schemes (WHO, 2021; </w:t>
      </w:r>
      <w:proofErr w:type="spellStart"/>
      <w:r w:rsidRPr="00F56B5E">
        <w:rPr>
          <w:rStyle w:val="normaltextrun"/>
          <w:rFonts w:ascii="Arial" w:hAnsi="Arial" w:cs="Arial"/>
        </w:rPr>
        <w:t>Tangcharoensathien</w:t>
      </w:r>
      <w:proofErr w:type="spellEnd"/>
      <w:r w:rsidRPr="00F56B5E">
        <w:rPr>
          <w:rStyle w:val="normaltextrun"/>
          <w:rFonts w:ascii="Arial" w:hAnsi="Arial" w:cs="Arial"/>
        </w:rPr>
        <w:t xml:space="preserve"> et al. 2020, p.133).</w:t>
      </w:r>
      <w:r w:rsidRPr="00F56B5E">
        <w:rPr>
          <w:rStyle w:val="eop"/>
          <w:rFonts w:ascii="Arial" w:hAnsi="Arial" w:cs="Arial"/>
        </w:rPr>
        <w:t> </w:t>
      </w:r>
    </w:p>
    <w:p w:rsidRPr="00F56B5E" w:rsidR="00237F76" w:rsidP="00237F76" w:rsidRDefault="00237F76" w14:paraId="698D0BD2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F56B5E">
        <w:rPr>
          <w:rStyle w:val="eop"/>
          <w:rFonts w:ascii="Arial" w:hAnsi="Arial" w:cs="Arial"/>
          <w:sz w:val="22"/>
          <w:szCs w:val="22"/>
        </w:rPr>
        <w:t> </w:t>
      </w:r>
    </w:p>
    <w:p w:rsidRPr="00F56B5E" w:rsidR="00237F76" w:rsidP="00237F76" w:rsidRDefault="00237F76" w14:paraId="630B5B9E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56B5E">
        <w:rPr>
          <w:rStyle w:val="normaltextrun"/>
          <w:rFonts w:ascii="Arial" w:hAnsi="Arial" w:cs="Arial"/>
          <w:sz w:val="22"/>
          <w:szCs w:val="22"/>
        </w:rPr>
        <w:t>Brunei Darussalam, Malaysia, and Viet Nam also have high coverage of essential services, higher than Southeast Asia’s and the global average. These countries’ relatively low OOPE suggests a low risk of financial hardship. In Brunei Darussalam, health services are predominantly government-</w:t>
      </w:r>
      <w:proofErr w:type="spellStart"/>
      <w:r w:rsidRPr="00F56B5E">
        <w:rPr>
          <w:rStyle w:val="normaltextrun"/>
          <w:rFonts w:ascii="Arial" w:hAnsi="Arial" w:cs="Arial"/>
          <w:sz w:val="22"/>
          <w:szCs w:val="22"/>
        </w:rPr>
        <w:t>subsidised</w:t>
      </w:r>
      <w:proofErr w:type="spellEnd"/>
      <w:r w:rsidRPr="00F56B5E">
        <w:rPr>
          <w:rStyle w:val="normaltextrun"/>
          <w:rFonts w:ascii="Arial" w:hAnsi="Arial" w:cs="Arial"/>
          <w:sz w:val="22"/>
          <w:szCs w:val="22"/>
        </w:rPr>
        <w:t xml:space="preserve"> (WHO, 2018). Moreover, less than 1% of Malaysia’s population spends more than 25% of their household budget on health (WHO, 2018). While about 90% of the </w:t>
      </w:r>
      <w:r w:rsidRPr="00F56B5E">
        <w:rPr>
          <w:rStyle w:val="normaltextrun"/>
          <w:rFonts w:ascii="Arial" w:hAnsi="Arial" w:cs="Arial"/>
          <w:sz w:val="22"/>
          <w:szCs w:val="22"/>
        </w:rPr>
        <w:lastRenderedPageBreak/>
        <w:t xml:space="preserve">Vietnamese are covered with health insurance, the government has fully </w:t>
      </w:r>
      <w:proofErr w:type="spellStart"/>
      <w:r w:rsidRPr="00F56B5E">
        <w:rPr>
          <w:rStyle w:val="normaltextrun"/>
          <w:rFonts w:ascii="Arial" w:hAnsi="Arial" w:cs="Arial"/>
          <w:sz w:val="22"/>
          <w:szCs w:val="22"/>
        </w:rPr>
        <w:t>subsidised</w:t>
      </w:r>
      <w:proofErr w:type="spellEnd"/>
      <w:r w:rsidRPr="00F56B5E">
        <w:rPr>
          <w:rStyle w:val="normaltextrun"/>
          <w:rFonts w:ascii="Arial" w:hAnsi="Arial" w:cs="Arial"/>
          <w:sz w:val="22"/>
          <w:szCs w:val="22"/>
        </w:rPr>
        <w:t xml:space="preserve"> the premiums for disadvantaged groups and those in difficult circumstances (The Vietnamese Ministry of Health, 2022). However, Cambodia’s current OOPE is around 60% of health expenditure, which poses a substantial risk of impoverishment to many households (</w:t>
      </w:r>
      <w:proofErr w:type="spellStart"/>
      <w:r w:rsidRPr="00F56B5E">
        <w:rPr>
          <w:rStyle w:val="normaltextrun"/>
          <w:rFonts w:ascii="Arial" w:hAnsi="Arial" w:cs="Arial"/>
          <w:sz w:val="22"/>
          <w:szCs w:val="22"/>
        </w:rPr>
        <w:t>Hyder</w:t>
      </w:r>
      <w:proofErr w:type="spellEnd"/>
      <w:r w:rsidRPr="00F56B5E">
        <w:rPr>
          <w:rStyle w:val="normaltextrun"/>
          <w:rFonts w:ascii="Arial" w:hAnsi="Arial" w:cs="Arial"/>
          <w:sz w:val="22"/>
          <w:szCs w:val="22"/>
        </w:rPr>
        <w:t>, 2021). Coverage of most health service indicators in Myanmar was also below the UHC target of 80% (Han, 2018, p.2).</w:t>
      </w:r>
      <w:r w:rsidRPr="00F56B5E">
        <w:rPr>
          <w:rStyle w:val="eop"/>
          <w:rFonts w:ascii="Arial" w:hAnsi="Arial" w:cs="Arial"/>
          <w:sz w:val="22"/>
          <w:szCs w:val="22"/>
        </w:rPr>
        <w:t> </w:t>
      </w:r>
    </w:p>
    <w:p w:rsidRPr="00F56B5E" w:rsidR="00237F76" w:rsidP="00237F76" w:rsidRDefault="00237F76" w14:paraId="45C69E8E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F56B5E">
        <w:rPr>
          <w:rStyle w:val="eop"/>
          <w:rFonts w:ascii="Arial" w:hAnsi="Arial" w:cs="Arial"/>
          <w:sz w:val="22"/>
          <w:szCs w:val="22"/>
        </w:rPr>
        <w:t> </w:t>
      </w:r>
    </w:p>
    <w:p w:rsidRPr="00F56B5E" w:rsidR="00237F76" w:rsidP="00237F76" w:rsidRDefault="00237F76" w14:paraId="6FBD8579" w14:textId="7777777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F56B5E">
        <w:rPr>
          <w:rStyle w:val="normaltextrun"/>
          <w:rFonts w:ascii="Arial" w:hAnsi="Arial" w:cs="Arial"/>
          <w:sz w:val="22"/>
          <w:szCs w:val="22"/>
        </w:rPr>
        <w:t>Meanwhile, Indonesia and the Philippines are working hard to attain UHC by 2030. Indonesia has the National Health Insurance-</w:t>
      </w:r>
      <w:proofErr w:type="spellStart"/>
      <w:r w:rsidRPr="00F56B5E">
        <w:rPr>
          <w:rStyle w:val="normaltextrun"/>
          <w:rFonts w:ascii="Arial" w:hAnsi="Arial" w:cs="Arial"/>
          <w:sz w:val="22"/>
          <w:szCs w:val="22"/>
        </w:rPr>
        <w:t>Jaminan</w:t>
      </w:r>
      <w:proofErr w:type="spellEnd"/>
      <w:r w:rsidRPr="00F56B5E">
        <w:rPr>
          <w:rStyle w:val="normaltextrun"/>
          <w:rFonts w:ascii="Arial" w:hAnsi="Arial" w:cs="Arial"/>
          <w:sz w:val="22"/>
          <w:szCs w:val="22"/>
        </w:rPr>
        <w:t xml:space="preserve"> </w:t>
      </w:r>
      <w:proofErr w:type="spellStart"/>
      <w:r w:rsidRPr="00F56B5E">
        <w:rPr>
          <w:rStyle w:val="normaltextrun"/>
          <w:rFonts w:ascii="Arial" w:hAnsi="Arial" w:cs="Arial"/>
          <w:sz w:val="22"/>
          <w:szCs w:val="22"/>
        </w:rPr>
        <w:t>Kesehatan</w:t>
      </w:r>
      <w:proofErr w:type="spellEnd"/>
      <w:r w:rsidRPr="00F56B5E">
        <w:rPr>
          <w:rStyle w:val="normaltextrun"/>
          <w:rFonts w:ascii="Arial" w:hAnsi="Arial" w:cs="Arial"/>
          <w:sz w:val="22"/>
          <w:szCs w:val="22"/>
        </w:rPr>
        <w:t xml:space="preserve"> Nasional-</w:t>
      </w:r>
      <w:proofErr w:type="spellStart"/>
      <w:r w:rsidRPr="00F56B5E">
        <w:rPr>
          <w:rStyle w:val="normaltextrun"/>
          <w:rFonts w:ascii="Arial" w:hAnsi="Arial" w:cs="Arial"/>
          <w:sz w:val="22"/>
          <w:szCs w:val="22"/>
        </w:rPr>
        <w:t>Kartu</w:t>
      </w:r>
      <w:proofErr w:type="spellEnd"/>
      <w:r w:rsidRPr="00F56B5E">
        <w:rPr>
          <w:rStyle w:val="normaltextrun"/>
          <w:rFonts w:ascii="Arial" w:hAnsi="Arial" w:cs="Arial"/>
          <w:sz w:val="22"/>
          <w:szCs w:val="22"/>
        </w:rPr>
        <w:t xml:space="preserve"> Indonesia </w:t>
      </w:r>
      <w:proofErr w:type="spellStart"/>
      <w:r w:rsidRPr="00F56B5E">
        <w:rPr>
          <w:rStyle w:val="normaltextrun"/>
          <w:rFonts w:ascii="Arial" w:hAnsi="Arial" w:cs="Arial"/>
          <w:sz w:val="22"/>
          <w:szCs w:val="22"/>
        </w:rPr>
        <w:t>Sehat</w:t>
      </w:r>
      <w:proofErr w:type="spellEnd"/>
      <w:r w:rsidRPr="00F56B5E">
        <w:rPr>
          <w:rStyle w:val="normaltextrun"/>
          <w:rFonts w:ascii="Arial" w:hAnsi="Arial" w:cs="Arial"/>
          <w:sz w:val="22"/>
          <w:szCs w:val="22"/>
        </w:rPr>
        <w:t xml:space="preserve"> </w:t>
      </w:r>
      <w:proofErr w:type="spellStart"/>
      <w:r w:rsidRPr="00F56B5E">
        <w:rPr>
          <w:rStyle w:val="normaltextrun"/>
          <w:rFonts w:ascii="Arial" w:hAnsi="Arial" w:cs="Arial"/>
          <w:sz w:val="22"/>
          <w:szCs w:val="22"/>
        </w:rPr>
        <w:t>programme</w:t>
      </w:r>
      <w:proofErr w:type="spellEnd"/>
      <w:r w:rsidRPr="00F56B5E">
        <w:rPr>
          <w:rStyle w:val="normaltextrun"/>
          <w:rFonts w:ascii="Arial" w:hAnsi="Arial" w:cs="Arial"/>
          <w:sz w:val="22"/>
          <w:szCs w:val="22"/>
        </w:rPr>
        <w:t>, which has protected over 82% of the Indonesian population (Ministry of Health of Indonesia, 2021). In the Philippines, UHC covers 51% of the population (</w:t>
      </w:r>
      <w:proofErr w:type="spellStart"/>
      <w:r w:rsidRPr="00F56B5E">
        <w:rPr>
          <w:rStyle w:val="normaltextrun"/>
          <w:rFonts w:ascii="Arial" w:hAnsi="Arial" w:cs="Arial"/>
          <w:sz w:val="22"/>
          <w:szCs w:val="22"/>
        </w:rPr>
        <w:t>Hutapea</w:t>
      </w:r>
      <w:proofErr w:type="spellEnd"/>
      <w:r w:rsidRPr="00F56B5E">
        <w:rPr>
          <w:rStyle w:val="normaltextrun"/>
          <w:rFonts w:ascii="Arial" w:hAnsi="Arial" w:cs="Arial"/>
          <w:sz w:val="22"/>
          <w:szCs w:val="22"/>
        </w:rPr>
        <w:t>, 2019, p.644).</w:t>
      </w:r>
      <w:r w:rsidRPr="00F56B5E">
        <w:rPr>
          <w:rStyle w:val="eop"/>
          <w:rFonts w:ascii="Arial" w:hAnsi="Arial" w:cs="Arial"/>
          <w:sz w:val="22"/>
          <w:szCs w:val="22"/>
        </w:rPr>
        <w:t> </w:t>
      </w:r>
    </w:p>
    <w:p w:rsidRPr="00F56B5E" w:rsidR="00237F76" w:rsidP="00237F76" w:rsidRDefault="00237F76" w14:paraId="54B675A2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F56B5E">
        <w:rPr>
          <w:rStyle w:val="eop"/>
          <w:rFonts w:ascii="Arial" w:hAnsi="Arial" w:cs="Arial"/>
          <w:sz w:val="22"/>
          <w:szCs w:val="22"/>
        </w:rPr>
        <w:t> </w:t>
      </w:r>
      <w:r w:rsidRPr="00F56B5E">
        <w:rPr>
          <w:rStyle w:val="normaltextrun"/>
          <w:rFonts w:ascii="Arial" w:hAnsi="Arial" w:cs="Arial"/>
          <w:sz w:val="22"/>
          <w:szCs w:val="22"/>
        </w:rPr>
        <w:t>Although Lao PDR has the lowest UHC service coverage, it has made impressive progress toward UHC, from 10.8% in 2008 to 50% in 2018. However, OOPE remains high and adequate access to quality health services remains challenging for a significant share of the population (ILO, 2018)</w:t>
      </w:r>
    </w:p>
    <w:p w:rsidRPr="00F56B5E" w:rsidR="00237F76" w:rsidP="00237F76" w:rsidRDefault="00237F76" w14:paraId="76CB994C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</w:p>
    <w:p w:rsidRPr="00F56B5E" w:rsidR="002F6125" w:rsidP="00237F76" w:rsidRDefault="002F6125" w14:paraId="7BC4E374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</w:p>
    <w:p w:rsidRPr="00F56B5E" w:rsidR="002F6125" w:rsidP="00237F76" w:rsidRDefault="002F6125" w14:paraId="4B56DA3E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</w:p>
    <w:p w:rsidRPr="00F56B5E" w:rsidR="00237F76" w:rsidP="00237F76" w:rsidRDefault="00237F76" w14:paraId="5DFF5529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sz w:val="22"/>
          <w:szCs w:val="22"/>
        </w:rPr>
      </w:pPr>
      <w:r w:rsidRPr="00F56B5E">
        <w:rPr>
          <w:rFonts w:ascii="Arial" w:hAnsi="Arial" w:cs="Arial"/>
          <w:b/>
          <w:sz w:val="22"/>
          <w:szCs w:val="22"/>
        </w:rPr>
        <w:t>References</w:t>
      </w:r>
    </w:p>
    <w:p w:rsidRPr="00F56B5E" w:rsidR="002F6125" w:rsidP="00237F76" w:rsidRDefault="002F6125" w14:paraId="27730187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sz w:val="22"/>
          <w:szCs w:val="22"/>
        </w:rPr>
      </w:pPr>
    </w:p>
    <w:p w:rsidRPr="00F56B5E" w:rsidR="00237F76" w:rsidP="00237F76" w:rsidRDefault="00237F76" w14:paraId="020E66A6" w14:textId="77777777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shd w:val="clear" w:color="auto" w:fill="FFFFFF"/>
        </w:rPr>
      </w:pPr>
      <w:proofErr w:type="spellStart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>Hutapea</w:t>
      </w:r>
      <w:proofErr w:type="spellEnd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, </w:t>
      </w:r>
      <w:proofErr w:type="spellStart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>Lyna</w:t>
      </w:r>
      <w:proofErr w:type="spellEnd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. </w:t>
      </w:r>
      <w:r w:rsidRPr="00F56B5E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 xml:space="preserve">“UHC for ASEAN: Is It Possible?”. </w:t>
      </w:r>
      <w:r w:rsidRPr="00F56B5E">
        <w:rPr>
          <w:rStyle w:val="normaltextrun"/>
          <w:rFonts w:ascii="Arial" w:hAnsi="Arial" w:cs="Arial"/>
          <w:i/>
          <w:iCs/>
          <w:sz w:val="22"/>
          <w:szCs w:val="22"/>
          <w:shd w:val="clear" w:color="auto" w:fill="FFFFFF"/>
        </w:rPr>
        <w:t xml:space="preserve">International Scholars Conference </w:t>
      </w:r>
      <w:r w:rsidRPr="00F56B5E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7(1) (2019): 642-51</w:t>
      </w:r>
    </w:p>
    <w:p w:rsidRPr="00F56B5E" w:rsidR="00237F76" w:rsidP="00237F76" w:rsidRDefault="00237F76" w14:paraId="7D84902B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F56B5E">
        <w:rPr>
          <w:rStyle w:val="normaltextrun"/>
          <w:rFonts w:ascii="Arial" w:hAnsi="Arial" w:cs="Arial"/>
          <w:b/>
          <w:bCs/>
          <w:sz w:val="22"/>
          <w:szCs w:val="22"/>
        </w:rPr>
        <w:t xml:space="preserve">ILO. </w:t>
      </w:r>
      <w:r w:rsidRPr="00F56B5E">
        <w:rPr>
          <w:rStyle w:val="normaltextrun"/>
          <w:rFonts w:ascii="Arial" w:hAnsi="Arial" w:cs="Arial"/>
          <w:sz w:val="22"/>
          <w:szCs w:val="22"/>
        </w:rPr>
        <w:t>“Moving Towards Universal Social Health Protection: Lao People’s Democratic Republic (PDR)”.</w:t>
      </w:r>
      <w:r w:rsidRPr="00F56B5E">
        <w:rPr>
          <w:rStyle w:val="eop"/>
          <w:rFonts w:ascii="Arial" w:hAnsi="Arial" w:cs="Arial"/>
          <w:sz w:val="22"/>
          <w:szCs w:val="22"/>
        </w:rPr>
        <w:t> </w:t>
      </w:r>
    </w:p>
    <w:p w:rsidRPr="00F56B5E" w:rsidR="00237F76" w:rsidP="002F6125" w:rsidRDefault="00237F76" w14:paraId="619BC5B8" w14:textId="77777777">
      <w:pPr>
        <w:pStyle w:val="paragraph"/>
        <w:spacing w:before="0" w:beforeAutospacing="0" w:after="0" w:afterAutospacing="0"/>
        <w:ind w:firstLine="720"/>
        <w:textAlignment w:val="baseline"/>
        <w:rPr>
          <w:rFonts w:ascii="Arial" w:hAnsi="Arial" w:cs="Arial"/>
          <w:sz w:val="22"/>
          <w:szCs w:val="22"/>
        </w:rPr>
      </w:pPr>
      <w:r w:rsidRPr="00F56B5E">
        <w:rPr>
          <w:rStyle w:val="normaltextrun"/>
          <w:rFonts w:ascii="Arial" w:hAnsi="Arial" w:cs="Arial"/>
          <w:i/>
          <w:iCs/>
          <w:sz w:val="22"/>
          <w:szCs w:val="22"/>
        </w:rPr>
        <w:t xml:space="preserve">International </w:t>
      </w:r>
      <w:proofErr w:type="spellStart"/>
      <w:r w:rsidRPr="00F56B5E">
        <w:rPr>
          <w:rStyle w:val="normaltextrun"/>
          <w:rFonts w:ascii="Arial" w:hAnsi="Arial" w:cs="Arial"/>
          <w:i/>
          <w:iCs/>
          <w:sz w:val="22"/>
          <w:szCs w:val="22"/>
        </w:rPr>
        <w:t>Labour</w:t>
      </w:r>
      <w:proofErr w:type="spellEnd"/>
      <w:r w:rsidRPr="00F56B5E">
        <w:rPr>
          <w:rStyle w:val="normaltextrun"/>
          <w:rFonts w:ascii="Arial" w:hAnsi="Arial" w:cs="Arial"/>
          <w:i/>
          <w:iCs/>
          <w:sz w:val="22"/>
          <w:szCs w:val="22"/>
        </w:rPr>
        <w:t xml:space="preserve"> Office </w:t>
      </w:r>
      <w:r w:rsidRPr="00F56B5E">
        <w:rPr>
          <w:rStyle w:val="normaltextrun"/>
          <w:rFonts w:ascii="Arial" w:hAnsi="Arial" w:cs="Arial"/>
          <w:sz w:val="22"/>
          <w:szCs w:val="22"/>
        </w:rPr>
        <w:t>(2018): 1</w:t>
      </w:r>
      <w:r w:rsidRPr="00F56B5E">
        <w:rPr>
          <w:rStyle w:val="eop"/>
          <w:rFonts w:ascii="Arial" w:hAnsi="Arial" w:cs="Arial"/>
          <w:sz w:val="22"/>
          <w:szCs w:val="22"/>
        </w:rPr>
        <w:t> </w:t>
      </w:r>
    </w:p>
    <w:p w:rsidRPr="00F56B5E" w:rsidR="00237F76" w:rsidP="002F6125" w:rsidRDefault="00237F76" w14:paraId="2FFD1D9B" w14:textId="77777777">
      <w:pPr>
        <w:pStyle w:val="paragraph"/>
        <w:tabs>
          <w:tab w:val="left" w:pos="810"/>
        </w:tabs>
        <w:spacing w:before="0" w:beforeAutospacing="0" w:after="0" w:afterAutospacing="0"/>
        <w:ind w:left="720" w:right="1110" w:hanging="720"/>
        <w:jc w:val="both"/>
        <w:textAlignment w:val="baseline"/>
        <w:rPr>
          <w:rFonts w:ascii="Arial" w:hAnsi="Arial" w:cs="Arial"/>
          <w:sz w:val="22"/>
          <w:szCs w:val="22"/>
        </w:rPr>
      </w:pPr>
      <w:proofErr w:type="spellStart"/>
      <w:r w:rsidRPr="00F56B5E">
        <w:rPr>
          <w:rStyle w:val="normaltextrun"/>
          <w:rFonts w:ascii="Arial" w:hAnsi="Arial" w:cs="Arial"/>
          <w:b/>
          <w:bCs/>
          <w:sz w:val="22"/>
          <w:szCs w:val="22"/>
        </w:rPr>
        <w:t>Jabeen</w:t>
      </w:r>
      <w:proofErr w:type="spellEnd"/>
      <w:r w:rsidRPr="00F56B5E">
        <w:rPr>
          <w:rStyle w:val="normaltextrun"/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Pr="00F56B5E">
        <w:rPr>
          <w:rStyle w:val="normaltextrun"/>
          <w:rFonts w:ascii="Arial" w:hAnsi="Arial" w:cs="Arial"/>
          <w:b/>
          <w:bCs/>
          <w:sz w:val="22"/>
          <w:szCs w:val="22"/>
        </w:rPr>
        <w:t>Rawshan</w:t>
      </w:r>
      <w:proofErr w:type="spellEnd"/>
      <w:r w:rsidRPr="00F56B5E">
        <w:rPr>
          <w:rStyle w:val="normaltextrun"/>
          <w:rFonts w:ascii="Arial" w:hAnsi="Arial" w:cs="Arial"/>
          <w:b/>
          <w:bCs/>
          <w:sz w:val="22"/>
          <w:szCs w:val="22"/>
        </w:rPr>
        <w:t xml:space="preserve">, </w:t>
      </w:r>
      <w:proofErr w:type="spellStart"/>
      <w:r w:rsidRPr="00F56B5E">
        <w:rPr>
          <w:rStyle w:val="normaltextrun"/>
          <w:rFonts w:ascii="Arial" w:hAnsi="Arial" w:cs="Arial"/>
          <w:b/>
          <w:bCs/>
          <w:sz w:val="22"/>
          <w:szCs w:val="22"/>
        </w:rPr>
        <w:t>Unaib</w:t>
      </w:r>
      <w:proofErr w:type="spellEnd"/>
      <w:r w:rsidRPr="00F56B5E">
        <w:rPr>
          <w:rStyle w:val="normaltextrun"/>
          <w:rFonts w:ascii="Arial" w:hAnsi="Arial" w:cs="Arial"/>
          <w:b/>
          <w:bCs/>
          <w:sz w:val="22"/>
          <w:szCs w:val="22"/>
        </w:rPr>
        <w:t xml:space="preserve"> Rabbani, and </w:t>
      </w:r>
      <w:proofErr w:type="spellStart"/>
      <w:r w:rsidRPr="00F56B5E">
        <w:rPr>
          <w:rStyle w:val="normaltextrun"/>
          <w:rFonts w:ascii="Arial" w:hAnsi="Arial" w:cs="Arial"/>
          <w:b/>
          <w:bCs/>
          <w:sz w:val="22"/>
          <w:szCs w:val="22"/>
        </w:rPr>
        <w:t>Nazish</w:t>
      </w:r>
      <w:proofErr w:type="spellEnd"/>
      <w:r w:rsidRPr="00F56B5E">
        <w:rPr>
          <w:rStyle w:val="normaltextrun"/>
          <w:rFonts w:ascii="Arial" w:hAnsi="Arial" w:cs="Arial"/>
          <w:b/>
          <w:bCs/>
          <w:sz w:val="22"/>
          <w:szCs w:val="22"/>
        </w:rPr>
        <w:t xml:space="preserve"> Abbas. </w:t>
      </w:r>
      <w:r w:rsidRPr="00F56B5E">
        <w:rPr>
          <w:rStyle w:val="normaltextrun"/>
          <w:rFonts w:ascii="Arial" w:hAnsi="Arial" w:cs="Arial"/>
          <w:sz w:val="22"/>
          <w:szCs w:val="22"/>
        </w:rPr>
        <w:t>“Financing mechanisms applied for Successful UHC in Malaysia, Thailand and Singapore-Lessons for Pakistan.” (2021): 2611.</w:t>
      </w:r>
      <w:r w:rsidRPr="00F56B5E">
        <w:rPr>
          <w:rStyle w:val="eop"/>
          <w:rFonts w:ascii="Arial" w:hAnsi="Arial" w:cs="Arial"/>
          <w:sz w:val="22"/>
          <w:szCs w:val="22"/>
        </w:rPr>
        <w:t> </w:t>
      </w:r>
    </w:p>
    <w:p w:rsidRPr="00F56B5E" w:rsidR="00237F76" w:rsidP="002F6125" w:rsidRDefault="00237F76" w14:paraId="1C657D28" w14:textId="77777777">
      <w:pPr>
        <w:pStyle w:val="paragraph"/>
        <w:spacing w:before="0" w:beforeAutospacing="0" w:after="0" w:afterAutospacing="0"/>
        <w:ind w:left="720" w:hanging="720"/>
        <w:textAlignment w:val="baseline"/>
        <w:rPr>
          <w:rFonts w:ascii="Arial" w:hAnsi="Arial" w:cs="Arial"/>
          <w:sz w:val="22"/>
          <w:szCs w:val="22"/>
        </w:rPr>
      </w:pPr>
      <w:proofErr w:type="spellStart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>Myint</w:t>
      </w:r>
      <w:proofErr w:type="spellEnd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, Chaw-Yin, Milena Pavlova, </w:t>
      </w:r>
      <w:proofErr w:type="spellStart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>Khin</w:t>
      </w:r>
      <w:proofErr w:type="spellEnd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-Ni-Ni Thein, and Wim Groot. </w:t>
      </w:r>
      <w:r w:rsidRPr="00F56B5E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 xml:space="preserve">“A Systematic Review of the Health- Financing Mechanisms in the Association of Southeast Asian Nations Countries and the People’s Republic of China: Lessons for the Move Towards UHC”. </w:t>
      </w:r>
      <w:proofErr w:type="spellStart"/>
      <w:r w:rsidRPr="00F56B5E">
        <w:rPr>
          <w:rStyle w:val="normaltextrun"/>
          <w:rFonts w:ascii="Arial" w:hAnsi="Arial" w:cs="Arial"/>
          <w:i/>
          <w:iCs/>
          <w:sz w:val="22"/>
          <w:szCs w:val="22"/>
          <w:shd w:val="clear" w:color="auto" w:fill="FFFFFF"/>
        </w:rPr>
        <w:t>PLoS</w:t>
      </w:r>
      <w:proofErr w:type="spellEnd"/>
      <w:r w:rsidRPr="00F56B5E">
        <w:rPr>
          <w:rStyle w:val="normaltextrun"/>
          <w:rFonts w:ascii="Arial" w:hAnsi="Arial" w:cs="Arial"/>
          <w:i/>
          <w:iCs/>
          <w:sz w:val="22"/>
          <w:szCs w:val="22"/>
          <w:shd w:val="clear" w:color="auto" w:fill="FFFFFF"/>
        </w:rPr>
        <w:t xml:space="preserve"> ONE </w:t>
      </w:r>
      <w:r w:rsidRPr="00F56B5E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14(6), no. e0217278 (2019)</w:t>
      </w:r>
      <w:r w:rsidRPr="00F56B5E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</w:p>
    <w:p w:rsidRPr="00F56B5E" w:rsidR="002F6125" w:rsidP="002F6125" w:rsidRDefault="002F6125" w14:paraId="7C7F23B2" w14:textId="77777777">
      <w:pPr>
        <w:pStyle w:val="paragraph"/>
        <w:spacing w:before="0" w:beforeAutospacing="0" w:after="0" w:afterAutospacing="0"/>
        <w:ind w:left="720" w:hanging="720"/>
        <w:textAlignment w:val="baseline"/>
        <w:rPr>
          <w:rStyle w:val="eop"/>
          <w:rFonts w:ascii="Arial" w:hAnsi="Arial" w:cs="Arial"/>
          <w:sz w:val="22"/>
          <w:szCs w:val="22"/>
          <w:shd w:val="clear" w:color="auto" w:fill="FFFFFF"/>
        </w:rPr>
      </w:pPr>
      <w:proofErr w:type="spellStart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>Tangcharoensathien</w:t>
      </w:r>
      <w:proofErr w:type="spellEnd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, </w:t>
      </w:r>
      <w:proofErr w:type="spellStart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>Viroj</w:t>
      </w:r>
      <w:proofErr w:type="spellEnd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, </w:t>
      </w:r>
      <w:proofErr w:type="spellStart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>Walaiporn</w:t>
      </w:r>
      <w:proofErr w:type="spellEnd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proofErr w:type="spellStart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>Patcharanarumol</w:t>
      </w:r>
      <w:proofErr w:type="spellEnd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, </w:t>
      </w:r>
      <w:proofErr w:type="spellStart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>Waraporn</w:t>
      </w:r>
      <w:proofErr w:type="spellEnd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proofErr w:type="spellStart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>Suwanwela</w:t>
      </w:r>
      <w:proofErr w:type="spellEnd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, </w:t>
      </w:r>
      <w:proofErr w:type="spellStart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>Somruethai</w:t>
      </w:r>
      <w:proofErr w:type="spellEnd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proofErr w:type="spellStart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>Supangul</w:t>
      </w:r>
      <w:proofErr w:type="spellEnd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, </w:t>
      </w:r>
      <w:proofErr w:type="spellStart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>Warisa</w:t>
      </w:r>
      <w:proofErr w:type="spellEnd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proofErr w:type="spellStart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>Panichkriangkrai</w:t>
      </w:r>
      <w:proofErr w:type="spellEnd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, </w:t>
      </w:r>
      <w:proofErr w:type="spellStart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>Hathairat</w:t>
      </w:r>
      <w:proofErr w:type="spellEnd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proofErr w:type="spellStart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>Kosiyaporn</w:t>
      </w:r>
      <w:proofErr w:type="spellEnd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, and </w:t>
      </w:r>
      <w:proofErr w:type="spellStart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>Woranan</w:t>
      </w:r>
      <w:proofErr w:type="spellEnd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proofErr w:type="spellStart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>Witthayapipopsakul</w:t>
      </w:r>
      <w:proofErr w:type="spellEnd"/>
      <w:r w:rsidRPr="00F56B5E">
        <w:rPr>
          <w:rStyle w:val="normaltextrun"/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. </w:t>
      </w:r>
      <w:r w:rsidRPr="00F56B5E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“Defining the Benefit Package of Thailand UHC Scheme: from Pragmatism to Sophistication.” International Journal of Health Policy and Management 9, no. 4 (2020): 133.</w:t>
      </w:r>
      <w:r w:rsidRPr="00F56B5E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</w:p>
    <w:p w:rsidRPr="00F56B5E" w:rsidR="002F6125" w:rsidP="002F6125" w:rsidRDefault="002F6125" w14:paraId="34895E66" w14:textId="77777777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pPr>
      <w:r w:rsidRPr="00F56B5E">
        <w:rPr>
          <w:rFonts w:ascii="Arial" w:hAnsi="Arial" w:cs="Arial"/>
          <w:sz w:val="22"/>
          <w:szCs w:val="22"/>
        </w:rPr>
        <w:t>WHO. “</w:t>
      </w:r>
      <w:r w:rsidRPr="00F56B5E">
        <w:rPr>
          <w:rStyle w:val="normaltextrun"/>
          <w:rFonts w:ascii="Arial" w:hAnsi="Arial" w:cs="Arial"/>
          <w:i/>
          <w:iCs/>
          <w:sz w:val="22"/>
          <w:szCs w:val="22"/>
          <w:shd w:val="clear" w:color="auto" w:fill="FFFFFF"/>
        </w:rPr>
        <w:t xml:space="preserve">Building Health Systems Resilience for UHC and Health Security During the COVID-19 Pandemic and Beyond. </w:t>
      </w:r>
      <w:r w:rsidRPr="00F56B5E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Geneva: WHO, 2021</w:t>
      </w:r>
    </w:p>
    <w:p w:rsidRPr="00F56B5E" w:rsidR="00237F76" w:rsidRDefault="00237F76" w14:paraId="14F736EA" w14:textId="77777777">
      <w:pPr>
        <w:rPr>
          <w:rFonts w:ascii="Arial" w:hAnsi="Arial" w:cs="Arial"/>
        </w:rPr>
      </w:pPr>
    </w:p>
    <w:sectPr w:rsidRPr="00F56B5E" w:rsidR="00237F76">
      <w:footerReference w:type="default" r:id="rId9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4316" w:rsidP="002F6125" w:rsidRDefault="00034316" w14:paraId="51FF439F" w14:textId="77777777">
      <w:pPr>
        <w:spacing w:after="0" w:line="240" w:lineRule="auto"/>
      </w:pPr>
      <w:r>
        <w:separator/>
      </w:r>
    </w:p>
  </w:endnote>
  <w:endnote w:type="continuationSeparator" w:id="0">
    <w:p w:rsidR="00034316" w:rsidP="002F6125" w:rsidRDefault="00034316" w14:paraId="48D2042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2F6125" w:rsidR="002F6125" w:rsidP="002F6125" w:rsidRDefault="002F6125" w14:paraId="4AF2D8D3" w14:textId="77777777">
    <w:pPr>
      <w:pStyle w:val="paragraph"/>
      <w:spacing w:before="0" w:beforeAutospacing="0" w:after="0" w:afterAutospacing="0"/>
      <w:ind w:left="405"/>
      <w:textAlignment w:val="baseline"/>
      <w:rPr>
        <w:rFonts w:ascii="Segoe UI" w:hAnsi="Segoe UI" w:cs="Segoe UI"/>
        <w:i/>
        <w:sz w:val="20"/>
        <w:szCs w:val="18"/>
      </w:rPr>
    </w:pPr>
    <w:r w:rsidRPr="002F6125">
      <w:rPr>
        <w:rStyle w:val="normaltextrun"/>
        <w:rFonts w:ascii="Arial" w:hAnsi="Arial" w:cs="Arial"/>
        <w:i/>
        <w:color w:val="121212"/>
        <w:sz w:val="20"/>
        <w:szCs w:val="18"/>
      </w:rPr>
      <w:t>*The Resilience Development Initiative team comprises</w:t>
    </w:r>
    <w:r w:rsidRPr="002F6125">
      <w:rPr>
        <w:rStyle w:val="eop"/>
        <w:rFonts w:ascii="Arial" w:hAnsi="Arial" w:cs="Arial"/>
        <w:i/>
        <w:color w:val="121212"/>
        <w:sz w:val="20"/>
        <w:szCs w:val="18"/>
      </w:rPr>
      <w:t> </w:t>
    </w:r>
  </w:p>
  <w:p w:rsidRPr="002F6125" w:rsidR="002F6125" w:rsidP="002F6125" w:rsidRDefault="002F6125" w14:paraId="6174F79C" w14:textId="77777777">
    <w:pPr>
      <w:pStyle w:val="paragraph"/>
      <w:spacing w:before="0" w:beforeAutospacing="0" w:after="0" w:afterAutospacing="0"/>
      <w:ind w:left="405" w:right="1020"/>
      <w:textAlignment w:val="baseline"/>
      <w:rPr>
        <w:rFonts w:ascii="Segoe UI" w:hAnsi="Segoe UI" w:cs="Segoe UI"/>
        <w:i/>
        <w:sz w:val="20"/>
        <w:szCs w:val="18"/>
      </w:rPr>
    </w:pPr>
    <w:r w:rsidRPr="002F6125">
      <w:rPr>
        <w:rStyle w:val="normaltextrun"/>
        <w:rFonts w:ascii="Arial" w:hAnsi="Arial" w:cs="Arial"/>
        <w:i/>
        <w:color w:val="121212"/>
        <w:sz w:val="20"/>
        <w:szCs w:val="18"/>
      </w:rPr>
      <w:t xml:space="preserve">Bony </w:t>
    </w:r>
    <w:proofErr w:type="spellStart"/>
    <w:r w:rsidRPr="002F6125">
      <w:rPr>
        <w:rStyle w:val="normaltextrun"/>
        <w:rFonts w:ascii="Arial" w:hAnsi="Arial" w:cs="Arial"/>
        <w:i/>
        <w:color w:val="121212"/>
        <w:sz w:val="20"/>
        <w:szCs w:val="18"/>
      </w:rPr>
      <w:t>Wiem</w:t>
    </w:r>
    <w:proofErr w:type="spellEnd"/>
    <w:r w:rsidRPr="002F6125">
      <w:rPr>
        <w:rStyle w:val="normaltextrun"/>
        <w:rFonts w:ascii="Arial" w:hAnsi="Arial" w:cs="Arial"/>
        <w:i/>
        <w:color w:val="121212"/>
        <w:sz w:val="20"/>
        <w:szCs w:val="18"/>
      </w:rPr>
      <w:t xml:space="preserve"> Lestari, MD, MSc; </w:t>
    </w:r>
    <w:proofErr w:type="spellStart"/>
    <w:r w:rsidRPr="002F6125">
      <w:rPr>
        <w:rStyle w:val="normaltextrun"/>
        <w:rFonts w:ascii="Arial" w:hAnsi="Arial" w:cs="Arial"/>
        <w:i/>
        <w:color w:val="121212"/>
        <w:sz w:val="20"/>
        <w:szCs w:val="18"/>
      </w:rPr>
      <w:t>Fadilah</w:t>
    </w:r>
    <w:proofErr w:type="spellEnd"/>
    <w:r w:rsidRPr="002F6125">
      <w:rPr>
        <w:rStyle w:val="normaltextrun"/>
        <w:rFonts w:ascii="Arial" w:hAnsi="Arial" w:cs="Arial"/>
        <w:i/>
        <w:color w:val="121212"/>
        <w:sz w:val="20"/>
        <w:szCs w:val="18"/>
      </w:rPr>
      <w:t xml:space="preserve"> </w:t>
    </w:r>
    <w:proofErr w:type="spellStart"/>
    <w:r w:rsidRPr="002F6125">
      <w:rPr>
        <w:rStyle w:val="normaltextrun"/>
        <w:rFonts w:ascii="Arial" w:hAnsi="Arial" w:cs="Arial"/>
        <w:i/>
        <w:color w:val="121212"/>
        <w:sz w:val="20"/>
        <w:szCs w:val="18"/>
      </w:rPr>
      <w:t>Fitri</w:t>
    </w:r>
    <w:proofErr w:type="spellEnd"/>
    <w:r w:rsidRPr="002F6125">
      <w:rPr>
        <w:rStyle w:val="normaltextrun"/>
        <w:rFonts w:ascii="Arial" w:hAnsi="Arial" w:cs="Arial"/>
        <w:i/>
        <w:color w:val="121212"/>
        <w:sz w:val="20"/>
        <w:szCs w:val="18"/>
      </w:rPr>
      <w:t xml:space="preserve"> </w:t>
    </w:r>
    <w:proofErr w:type="spellStart"/>
    <w:r w:rsidRPr="002F6125">
      <w:rPr>
        <w:rStyle w:val="normaltextrun"/>
        <w:rFonts w:ascii="Arial" w:hAnsi="Arial" w:cs="Arial"/>
        <w:i/>
        <w:color w:val="121212"/>
        <w:sz w:val="20"/>
        <w:szCs w:val="18"/>
      </w:rPr>
      <w:t>Arsy</w:t>
    </w:r>
    <w:proofErr w:type="spellEnd"/>
    <w:r w:rsidRPr="002F6125">
      <w:rPr>
        <w:rStyle w:val="normaltextrun"/>
        <w:rFonts w:ascii="Arial" w:hAnsi="Arial" w:cs="Arial"/>
        <w:i/>
        <w:color w:val="121212"/>
        <w:sz w:val="20"/>
        <w:szCs w:val="18"/>
      </w:rPr>
      <w:t xml:space="preserve">, BSc (PH); </w:t>
    </w:r>
    <w:proofErr w:type="spellStart"/>
    <w:r w:rsidRPr="002F6125">
      <w:rPr>
        <w:rStyle w:val="normaltextrun"/>
        <w:rFonts w:ascii="Arial" w:hAnsi="Arial" w:cs="Arial"/>
        <w:i/>
        <w:color w:val="121212"/>
        <w:sz w:val="20"/>
        <w:szCs w:val="18"/>
      </w:rPr>
      <w:t>Annisaa</w:t>
    </w:r>
    <w:proofErr w:type="spellEnd"/>
    <w:r w:rsidRPr="002F6125">
      <w:rPr>
        <w:rStyle w:val="normaltextrun"/>
        <w:rFonts w:ascii="Arial" w:hAnsi="Arial" w:cs="Arial"/>
        <w:i/>
        <w:color w:val="121212"/>
        <w:sz w:val="20"/>
        <w:szCs w:val="18"/>
      </w:rPr>
      <w:t xml:space="preserve"> </w:t>
    </w:r>
    <w:proofErr w:type="spellStart"/>
    <w:r w:rsidRPr="002F6125">
      <w:rPr>
        <w:rStyle w:val="normaltextrun"/>
        <w:rFonts w:ascii="Arial" w:hAnsi="Arial" w:cs="Arial"/>
        <w:i/>
        <w:color w:val="121212"/>
        <w:sz w:val="20"/>
        <w:szCs w:val="18"/>
      </w:rPr>
      <w:t>Indrarini</w:t>
    </w:r>
    <w:proofErr w:type="spellEnd"/>
    <w:r w:rsidRPr="002F6125">
      <w:rPr>
        <w:rStyle w:val="normaltextrun"/>
        <w:rFonts w:ascii="Arial" w:hAnsi="Arial" w:cs="Arial"/>
        <w:i/>
        <w:color w:val="121212"/>
        <w:sz w:val="20"/>
        <w:szCs w:val="18"/>
      </w:rPr>
      <w:t xml:space="preserve">, BEng, MSc; </w:t>
    </w:r>
    <w:proofErr w:type="spellStart"/>
    <w:r w:rsidRPr="002F6125">
      <w:rPr>
        <w:rStyle w:val="normaltextrun"/>
        <w:rFonts w:ascii="Arial" w:hAnsi="Arial" w:cs="Arial"/>
        <w:i/>
        <w:color w:val="121212"/>
        <w:sz w:val="20"/>
        <w:szCs w:val="18"/>
      </w:rPr>
      <w:t>Fachriey</w:t>
    </w:r>
    <w:proofErr w:type="spellEnd"/>
    <w:r w:rsidRPr="002F6125">
      <w:rPr>
        <w:rStyle w:val="normaltextrun"/>
        <w:rFonts w:ascii="Arial" w:hAnsi="Arial" w:cs="Arial"/>
        <w:i/>
        <w:color w:val="121212"/>
        <w:sz w:val="20"/>
        <w:szCs w:val="18"/>
      </w:rPr>
      <w:t xml:space="preserve"> </w:t>
    </w:r>
    <w:proofErr w:type="spellStart"/>
    <w:r w:rsidRPr="002F6125">
      <w:rPr>
        <w:rStyle w:val="normaltextrun"/>
        <w:rFonts w:ascii="Arial" w:hAnsi="Arial" w:cs="Arial"/>
        <w:i/>
        <w:color w:val="121212"/>
        <w:sz w:val="20"/>
        <w:szCs w:val="18"/>
      </w:rPr>
      <w:t>Mungkasa</w:t>
    </w:r>
    <w:proofErr w:type="spellEnd"/>
    <w:r w:rsidRPr="002F6125">
      <w:rPr>
        <w:rStyle w:val="normaltextrun"/>
        <w:rFonts w:ascii="Arial" w:hAnsi="Arial" w:cs="Arial"/>
        <w:i/>
        <w:color w:val="121212"/>
        <w:sz w:val="20"/>
        <w:szCs w:val="18"/>
      </w:rPr>
      <w:t xml:space="preserve">, BA; and </w:t>
    </w:r>
    <w:proofErr w:type="spellStart"/>
    <w:r w:rsidRPr="002F6125">
      <w:rPr>
        <w:rStyle w:val="normaltextrun"/>
        <w:rFonts w:ascii="Arial" w:hAnsi="Arial" w:cs="Arial"/>
        <w:i/>
        <w:color w:val="121212"/>
        <w:sz w:val="20"/>
        <w:szCs w:val="18"/>
      </w:rPr>
      <w:t>Delaneira</w:t>
    </w:r>
    <w:proofErr w:type="spellEnd"/>
    <w:r w:rsidRPr="002F6125">
      <w:rPr>
        <w:rStyle w:val="normaltextrun"/>
        <w:rFonts w:ascii="Arial" w:hAnsi="Arial" w:cs="Arial"/>
        <w:i/>
        <w:color w:val="121212"/>
        <w:sz w:val="20"/>
        <w:szCs w:val="18"/>
      </w:rPr>
      <w:t xml:space="preserve"> Humaira, BURP. Aly Diana, MD, PhD, is from the Department of Public Health, Faculty of Medicine, </w:t>
    </w:r>
    <w:proofErr w:type="spellStart"/>
    <w:r w:rsidRPr="002F6125">
      <w:rPr>
        <w:rStyle w:val="normaltextrun"/>
        <w:rFonts w:ascii="Arial" w:hAnsi="Arial" w:cs="Arial"/>
        <w:i/>
        <w:color w:val="121212"/>
        <w:sz w:val="20"/>
        <w:szCs w:val="18"/>
      </w:rPr>
      <w:t>Universitas</w:t>
    </w:r>
    <w:proofErr w:type="spellEnd"/>
    <w:r w:rsidRPr="002F6125">
      <w:rPr>
        <w:rStyle w:val="normaltextrun"/>
        <w:rFonts w:ascii="Arial" w:hAnsi="Arial" w:cs="Arial"/>
        <w:i/>
        <w:color w:val="121212"/>
        <w:sz w:val="20"/>
        <w:szCs w:val="18"/>
      </w:rPr>
      <w:t xml:space="preserve"> </w:t>
    </w:r>
    <w:proofErr w:type="spellStart"/>
    <w:r w:rsidRPr="002F6125">
      <w:rPr>
        <w:rStyle w:val="normaltextrun"/>
        <w:rFonts w:ascii="Arial" w:hAnsi="Arial" w:cs="Arial"/>
        <w:i/>
        <w:color w:val="121212"/>
        <w:sz w:val="20"/>
        <w:szCs w:val="18"/>
      </w:rPr>
      <w:t>Padjadjaran</w:t>
    </w:r>
    <w:proofErr w:type="spellEnd"/>
    <w:r w:rsidRPr="002F6125">
      <w:rPr>
        <w:rStyle w:val="normaltextrun"/>
        <w:rFonts w:ascii="Arial" w:hAnsi="Arial" w:cs="Arial"/>
        <w:i/>
        <w:color w:val="121212"/>
        <w:sz w:val="20"/>
        <w:szCs w:val="18"/>
      </w:rPr>
      <w:t>, Bandung, Indonesia.</w:t>
    </w:r>
    <w:r w:rsidRPr="002F6125">
      <w:rPr>
        <w:rStyle w:val="eop"/>
        <w:rFonts w:ascii="Arial" w:hAnsi="Arial" w:cs="Arial"/>
        <w:i/>
        <w:color w:val="121212"/>
        <w:sz w:val="20"/>
        <w:szCs w:val="18"/>
      </w:rPr>
      <w:t> </w:t>
    </w:r>
  </w:p>
  <w:p w:rsidR="002F6125" w:rsidRDefault="002F6125" w14:paraId="5F4BF728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4316" w:rsidP="002F6125" w:rsidRDefault="00034316" w14:paraId="0055B16C" w14:textId="77777777">
      <w:pPr>
        <w:spacing w:after="0" w:line="240" w:lineRule="auto"/>
      </w:pPr>
      <w:r>
        <w:separator/>
      </w:r>
    </w:p>
  </w:footnote>
  <w:footnote w:type="continuationSeparator" w:id="0">
    <w:p w:rsidR="00034316" w:rsidP="002F6125" w:rsidRDefault="00034316" w14:paraId="72842152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F76"/>
    <w:rsid w:val="00034316"/>
    <w:rsid w:val="00237F76"/>
    <w:rsid w:val="002F6125"/>
    <w:rsid w:val="003672BC"/>
    <w:rsid w:val="00F56B5E"/>
    <w:rsid w:val="3367B5D9"/>
    <w:rsid w:val="62E3A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F64A8"/>
  <w15:chartTrackingRefBased/>
  <w15:docId w15:val="{02B5709E-6E19-419E-A664-1A988FEB9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normaltextrun" w:customStyle="1">
    <w:name w:val="normaltextrun"/>
    <w:basedOn w:val="DefaultParagraphFont"/>
    <w:rsid w:val="00237F76"/>
  </w:style>
  <w:style w:type="character" w:styleId="tabchar" w:customStyle="1">
    <w:name w:val="tabchar"/>
    <w:basedOn w:val="DefaultParagraphFont"/>
    <w:rsid w:val="00237F76"/>
  </w:style>
  <w:style w:type="character" w:styleId="eop" w:customStyle="1">
    <w:name w:val="eop"/>
    <w:basedOn w:val="DefaultParagraphFont"/>
    <w:rsid w:val="00237F76"/>
  </w:style>
  <w:style w:type="paragraph" w:styleId="paragraph" w:customStyle="1">
    <w:name w:val="paragraph"/>
    <w:basedOn w:val="Normal"/>
    <w:rsid w:val="00237F76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2F6125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F6125"/>
  </w:style>
  <w:style w:type="paragraph" w:styleId="Footer">
    <w:name w:val="footer"/>
    <w:basedOn w:val="Normal"/>
    <w:link w:val="FooterChar"/>
    <w:uiPriority w:val="99"/>
    <w:unhideWhenUsed/>
    <w:rsid w:val="002F6125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F6125"/>
  </w:style>
  <w:style w:type="table" w:styleId="TableGrid">
    <w:name w:val="Table Grid"/>
    <w:basedOn w:val="TableNormal"/>
    <w:uiPriority w:val="39"/>
    <w:rsid w:val="00F56B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7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3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2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7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1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1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ED5AAEF03EA849A9B027430DBE6860" ma:contentTypeVersion="15" ma:contentTypeDescription="Create a new document." ma:contentTypeScope="" ma:versionID="5996eaccb4d9fce7edd1a90830067751">
  <xsd:schema xmlns:xsd="http://www.w3.org/2001/XMLSchema" xmlns:xs="http://www.w3.org/2001/XMLSchema" xmlns:p="http://schemas.microsoft.com/office/2006/metadata/properties" xmlns:ns2="33bdddf0-8abe-4afc-9fe8-8ad562ba59b5" xmlns:ns3="ddab1a16-c6ff-444b-b718-4eedd580cbd4" targetNamespace="http://schemas.microsoft.com/office/2006/metadata/properties" ma:root="true" ma:fieldsID="5c47dcdf0df4e6d486abcfe199084fe2" ns2:_="" ns3:_="">
    <xsd:import namespace="33bdddf0-8abe-4afc-9fe8-8ad562ba59b5"/>
    <xsd:import namespace="ddab1a16-c6ff-444b-b718-4eedd580cb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dddf0-8abe-4afc-9fe8-8ad562ba59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c149374-6edc-42e0-82c3-af76cea61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b1a16-c6ff-444b-b718-4eedd580cbd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ac17cc30-8319-4a66-bce5-8e306624b133}" ma:internalName="TaxCatchAll" ma:showField="CatchAllData" ma:web="ddab1a16-c6ff-444b-b718-4eedd580cb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3bdddf0-8abe-4afc-9fe8-8ad562ba59b5">
      <Terms xmlns="http://schemas.microsoft.com/office/infopath/2007/PartnerControls"/>
    </lcf76f155ced4ddcb4097134ff3c332f>
    <TaxCatchAll xmlns="ddab1a16-c6ff-444b-b718-4eedd580cbd4" xsi:nil="true"/>
  </documentManagement>
</p:properties>
</file>

<file path=customXml/itemProps1.xml><?xml version="1.0" encoding="utf-8"?>
<ds:datastoreItem xmlns:ds="http://schemas.openxmlformats.org/officeDocument/2006/customXml" ds:itemID="{3B8269B1-64D1-4292-BCE0-613FD316C0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A2A3BD-DAC6-4146-9A83-F8EEDE09E0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bdddf0-8abe-4afc-9fe8-8ad562ba59b5"/>
    <ds:schemaRef ds:uri="ddab1a16-c6ff-444b-b718-4eedd580cb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B3BDA5-271C-41B7-A93C-7C47328FB242}">
  <ds:schemaRefs>
    <ds:schemaRef ds:uri="http://purl.org/dc/dcmitype/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ddab1a16-c6ff-444b-b718-4eedd580cbd4"/>
    <ds:schemaRef ds:uri="33bdddf0-8abe-4afc-9fe8-8ad562ba59b5"/>
    <ds:schemaRef ds:uri="http://schemas.microsoft.com/office/2006/metadata/properties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Idin Sabilah</dc:creator>
  <keywords/>
  <dc:description/>
  <lastModifiedBy>Idin Virgi Sabilah</lastModifiedBy>
  <revision>3</revision>
  <dcterms:created xsi:type="dcterms:W3CDTF">2024-05-07T06:43:00.0000000Z</dcterms:created>
  <dcterms:modified xsi:type="dcterms:W3CDTF">2024-05-07T09:24:11.4443980Z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0x01010083ED5AAEF03EA849A9B027430DBE6860</vt:lpwstr>
  </property>
  <property fmtid="{D5CDD505-2E9C-101B-9397-08002B2CF9AE}" pid="3" name="MediaServiceImageTags">
    <vt:lpwstr/>
  </property>
</Properties>
</file>